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3E74" w14:textId="77777777" w:rsidR="00694180" w:rsidRPr="00040942" w:rsidRDefault="00694180" w:rsidP="00694180">
      <w:pPr>
        <w:rPr>
          <w:b/>
          <w:bCs/>
          <w:sz w:val="28"/>
          <w:szCs w:val="28"/>
          <w:u w:val="single"/>
        </w:rPr>
      </w:pPr>
      <w:r w:rsidRPr="00040942">
        <w:rPr>
          <w:b/>
          <w:bCs/>
          <w:sz w:val="28"/>
          <w:szCs w:val="28"/>
          <w:u w:val="single"/>
        </w:rPr>
        <w:t xml:space="preserve">Obrazloženje cijene javne usluge i načina na koji je cijena određena </w:t>
      </w:r>
    </w:p>
    <w:p w14:paraId="1A72EA0C" w14:textId="452B9B16" w:rsidR="00694180" w:rsidRPr="00694180" w:rsidRDefault="00694180" w:rsidP="00040942">
      <w:pPr>
        <w:spacing w:after="0"/>
      </w:pPr>
    </w:p>
    <w:p w14:paraId="45897F70" w14:textId="3DDF986B" w:rsidR="00694180" w:rsidRPr="00694180" w:rsidRDefault="00694180" w:rsidP="00694180">
      <w:r w:rsidRPr="00694180">
        <w:t xml:space="preserve">Cijena javne usluge plaća se radi pokrića troškova pružanja javne usluge. </w:t>
      </w:r>
    </w:p>
    <w:p w14:paraId="46EAC48D" w14:textId="77777777" w:rsidR="00694180" w:rsidRPr="00694180" w:rsidRDefault="00694180" w:rsidP="00694180">
      <w:r w:rsidRPr="00694180">
        <w:t>Cijena javne usluge je kalkulirana prema razini potrebnih troškova kojima bi se osiguralo ekonomski održivo poslovanje te sigurnost, redovitost i kvaliteta pružanja javne usluge, a uvažavajući odredbe čl.80. Zakona o gospodarenju otpadom (</w:t>
      </w:r>
      <w:r w:rsidRPr="00694180">
        <w:rPr>
          <w:bCs/>
        </w:rPr>
        <w:t>NN 84/21, 142/23</w:t>
      </w:r>
      <w:r w:rsidRPr="00694180">
        <w:t xml:space="preserve">) kojim je propisano da se iz cijene javne usluge financiraju sljedeći troškovi: </w:t>
      </w:r>
    </w:p>
    <w:p w14:paraId="37833F66" w14:textId="77777777" w:rsidR="00694180" w:rsidRPr="00694180" w:rsidRDefault="00694180" w:rsidP="00640DB7">
      <w:pPr>
        <w:spacing w:after="0"/>
      </w:pPr>
      <w:r w:rsidRPr="00694180">
        <w:t>1. troškovi nabave i održavanja opreme za prikupljanje otpada</w:t>
      </w:r>
    </w:p>
    <w:p w14:paraId="4123EE4B" w14:textId="77777777" w:rsidR="00694180" w:rsidRPr="00694180" w:rsidRDefault="00694180" w:rsidP="00640DB7">
      <w:pPr>
        <w:spacing w:after="0"/>
      </w:pPr>
      <w:r w:rsidRPr="00694180">
        <w:t>2. troškovi prijevoza otpada</w:t>
      </w:r>
    </w:p>
    <w:p w14:paraId="1A797C9A" w14:textId="77777777" w:rsidR="00694180" w:rsidRPr="00694180" w:rsidRDefault="00694180" w:rsidP="00640DB7">
      <w:pPr>
        <w:spacing w:after="0"/>
      </w:pPr>
      <w:r w:rsidRPr="00694180">
        <w:t>3. troškovi obrade miješanog komunalnog otpada i biootpada</w:t>
      </w:r>
    </w:p>
    <w:p w14:paraId="41ADF31E" w14:textId="0DF47E5B" w:rsidR="00694180" w:rsidRPr="00694180" w:rsidRDefault="00694180" w:rsidP="00640DB7">
      <w:pPr>
        <w:spacing w:after="0"/>
      </w:pPr>
      <w:r w:rsidRPr="00694180">
        <w:t>4. troškovi koji su nastali radom reciklažnog dvorišta i mobilnog reciklažnog dvorišta zaprimanjem bez naknade otpada nastalog u kućanstvu na području jedinice lokalne samouprave za koje je uspostavljeno reciklažno dvorište</w:t>
      </w:r>
      <w:r w:rsidR="00040942">
        <w:t>. (</w:t>
      </w:r>
      <w:r w:rsidR="00040942" w:rsidRPr="00040942">
        <w:t>Troškovi poslovanja reciklažnog dvorišta nisu uračunati u cijenu s obzirom da je izgradnja reciklažnog dvorišta u tijeku</w:t>
      </w:r>
      <w:r w:rsidR="00040942">
        <w:t>)</w:t>
      </w:r>
    </w:p>
    <w:p w14:paraId="49549133" w14:textId="77777777" w:rsidR="00694180" w:rsidRPr="00694180" w:rsidRDefault="00694180" w:rsidP="00640DB7">
      <w:pPr>
        <w:spacing w:after="0"/>
      </w:pPr>
      <w:r w:rsidRPr="00694180">
        <w:t>5. troškovi prijevoza i obrade glomaznog otpada koji se prikuplja u okviru javne usluge i</w:t>
      </w:r>
    </w:p>
    <w:p w14:paraId="30DB427B" w14:textId="119653BF" w:rsidR="00694180" w:rsidRDefault="00694180" w:rsidP="00640DB7">
      <w:pPr>
        <w:spacing w:after="0"/>
      </w:pPr>
      <w:r w:rsidRPr="00694180">
        <w:t>6. troškovi vođenja propisanih evidencija i izvješćivanja u svezi s javnom uslugom.</w:t>
      </w:r>
    </w:p>
    <w:p w14:paraId="37A5F27C" w14:textId="77777777" w:rsidR="00040942" w:rsidRDefault="00040942" w:rsidP="00640DB7">
      <w:pPr>
        <w:spacing w:after="0"/>
      </w:pPr>
    </w:p>
    <w:p w14:paraId="3603A354" w14:textId="77777777" w:rsidR="00040942" w:rsidRDefault="00040942" w:rsidP="00040942">
      <w:pPr>
        <w:spacing w:after="0"/>
      </w:pPr>
      <w:r>
        <w:t>Strukturu cijene javne usluge čini:</w:t>
      </w:r>
    </w:p>
    <w:p w14:paraId="449D93E0" w14:textId="77777777" w:rsidR="00040942" w:rsidRDefault="00040942" w:rsidP="00040942">
      <w:pPr>
        <w:spacing w:after="0"/>
      </w:pPr>
      <w:r>
        <w:t>1. cijena obvezne minimalne javne usluge i</w:t>
      </w:r>
    </w:p>
    <w:p w14:paraId="61999B1B" w14:textId="6C3EC15A" w:rsidR="00640DB7" w:rsidRDefault="00040942" w:rsidP="00040942">
      <w:pPr>
        <w:spacing w:after="0"/>
      </w:pPr>
      <w:r>
        <w:t>2. cijena za količinu predanog miješanog komunalnog otpada</w:t>
      </w:r>
    </w:p>
    <w:p w14:paraId="6B7B2E77" w14:textId="77777777" w:rsidR="00040942" w:rsidRPr="00694180" w:rsidRDefault="00040942" w:rsidP="00040942">
      <w:pPr>
        <w:spacing w:after="0"/>
      </w:pPr>
    </w:p>
    <w:p w14:paraId="66923AF4" w14:textId="77777777" w:rsidR="00694180" w:rsidRPr="00040942" w:rsidRDefault="00694180" w:rsidP="00694180">
      <w:pPr>
        <w:rPr>
          <w:b/>
          <w:bCs/>
          <w:sz w:val="28"/>
          <w:szCs w:val="28"/>
          <w:u w:val="single"/>
        </w:rPr>
      </w:pPr>
      <w:r w:rsidRPr="00040942">
        <w:rPr>
          <w:b/>
          <w:bCs/>
          <w:sz w:val="28"/>
          <w:szCs w:val="28"/>
          <w:u w:val="single"/>
        </w:rPr>
        <w:t>1. Obvezna minimalna javna usluga (fiksni dio)</w:t>
      </w:r>
    </w:p>
    <w:p w14:paraId="12EC8D6B" w14:textId="71A2DEBE" w:rsidR="00694180" w:rsidRPr="00694180" w:rsidRDefault="00694180" w:rsidP="00694180">
      <w:r w:rsidRPr="00694180">
        <w:t>Cijena obvezne minimalne javne usluge određena je na način da pokriva ukupne fiksne troškove sustava koji ne ovise o  količini otpada koju korisnik predaje</w:t>
      </w:r>
      <w:r w:rsidR="00040942">
        <w:t>.</w:t>
      </w:r>
      <w:r w:rsidR="00040942" w:rsidRPr="00040942">
        <w:t xml:space="preserve"> Cijena obvezne minimalne javne usluge plaća se radi pokrića troškova nabave i održavanja opreme za sakupljanje otpada,  troškova vođenja propisanih evidencija i izvješćivanja u svezi s javnom uslugom.</w:t>
      </w:r>
    </w:p>
    <w:p w14:paraId="3F51AE06" w14:textId="1B01554C" w:rsidR="00040942" w:rsidRDefault="00640DB7" w:rsidP="00040942">
      <w:r w:rsidRPr="00640DB7">
        <w:t xml:space="preserve">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Odluci </w:t>
      </w:r>
      <w:r w:rsidR="00040942" w:rsidRPr="00040942">
        <w:t xml:space="preserve">o načinu pružanja javne usluge </w:t>
      </w:r>
      <w:r w:rsidRPr="00640DB7">
        <w:t>i drugim propisima</w:t>
      </w:r>
    </w:p>
    <w:p w14:paraId="7265A412" w14:textId="10AFB223" w:rsidR="00640DB7" w:rsidRDefault="00640DB7" w:rsidP="00040942">
      <w:r>
        <w:t>Iznos cijene obvezne minimalne javne usluge odredilo je predstavničko tijelo jedinice lokalne samouprave Odlukom o načinu pružanja javne usluge, na slijedeći način:</w:t>
      </w:r>
    </w:p>
    <w:p w14:paraId="448F7085" w14:textId="212C93FC" w:rsidR="00040942" w:rsidRDefault="00040942" w:rsidP="00040942">
      <w:r>
        <w:t xml:space="preserve">- Cijena obvezne minimalne javne usluge za korisnika kategorije kućanstvo jedinstvena je na čitavom području primjene ove Odluke, a iznosi: </w:t>
      </w:r>
      <w:r w:rsidRPr="00040942">
        <w:rPr>
          <w:b/>
          <w:bCs/>
        </w:rPr>
        <w:t xml:space="preserve">6,00 EUR </w:t>
      </w:r>
      <w:r>
        <w:t>(slovima: šest eura) mjesečno, bez PDV-a (13%}.</w:t>
      </w:r>
    </w:p>
    <w:p w14:paraId="3CCB8FD4" w14:textId="1EFA56AB" w:rsidR="00694180" w:rsidRPr="00694180" w:rsidRDefault="00040942" w:rsidP="00040942">
      <w:r>
        <w:lastRenderedPageBreak/>
        <w:t xml:space="preserve">- Cijena obvezne minimalne javne usluge za korisnika koji nije kućanstvo jedinstvena je na čitavom području primjene ove Odluke, a iznosi: </w:t>
      </w:r>
      <w:r w:rsidRPr="00040942">
        <w:rPr>
          <w:b/>
          <w:bCs/>
        </w:rPr>
        <w:t>15,00 EUR</w:t>
      </w:r>
      <w:r>
        <w:t xml:space="preserve"> (slovima: petnaest eura) mjesečno, bez PDV-a (13%)</w:t>
      </w:r>
    </w:p>
    <w:p w14:paraId="68598D82" w14:textId="77777777" w:rsidR="00694180" w:rsidRPr="00040942" w:rsidRDefault="00694180" w:rsidP="00694180">
      <w:pPr>
        <w:rPr>
          <w:b/>
          <w:bCs/>
          <w:sz w:val="28"/>
          <w:szCs w:val="28"/>
          <w:u w:val="single"/>
        </w:rPr>
      </w:pPr>
      <w:r w:rsidRPr="00040942">
        <w:rPr>
          <w:b/>
          <w:bCs/>
          <w:sz w:val="28"/>
          <w:szCs w:val="28"/>
          <w:u w:val="single"/>
        </w:rPr>
        <w:t>2. Cijena za količinu predanog miješanog komunalnog otpada (varijabilni dio)</w:t>
      </w:r>
    </w:p>
    <w:p w14:paraId="4E9697BB" w14:textId="0AEC0EEE" w:rsidR="00694180" w:rsidRPr="00694180" w:rsidRDefault="00694180" w:rsidP="00694180">
      <w:r w:rsidRPr="00694180">
        <w:t>Cijena za količinu predanog miješanog komunalnog otpada određena je na temelju troška onih usluga koje nastaju kada korisnici predaju otpad davatelju usluge (troškovi prijevoza otpada, troškovi obrade miješanog komunalnog otpada, troškovi zbrinjavanja otpada na odlagalištu u Glini, troškovi prijevoza i obrade glomaznog otpada</w:t>
      </w:r>
      <w:r w:rsidR="00CD6F3B">
        <w:t xml:space="preserve"> </w:t>
      </w:r>
      <w:r w:rsidR="00CD6F3B" w:rsidRPr="00CD6F3B">
        <w:t>koji se bez naknade sakuplja kod Korisnika na obračunskom mjestu</w:t>
      </w:r>
      <w:r w:rsidRPr="00694180">
        <w:t>).</w:t>
      </w:r>
    </w:p>
    <w:p w14:paraId="36B6F9F9" w14:textId="77777777" w:rsidR="00040942" w:rsidRDefault="00040942" w:rsidP="00040942">
      <w:r>
        <w:t>Cijena za količinu predanog miješanog komunalnog otpada (C) sastoji se od jedinične cijene za pražnjenje volumena spremnika miješanog komunalnog otpada izražene u eurima (JCV), broja pražnjenja spremnika miješanog komunalnog otpada u obračunskom razdoblju sukladno podacima u evidenciji Davatelja usluge (BP) i udjela Korisnika u korištenju spremnika (U).</w:t>
      </w:r>
    </w:p>
    <w:p w14:paraId="1ABD93E7" w14:textId="77777777" w:rsidR="00CD6F3B" w:rsidRDefault="00040942" w:rsidP="00040942">
      <w:r>
        <w:t xml:space="preserve">Cijena za količinu predanog miješanog komunalnog otpada (C) određuje se prema izrazu: </w:t>
      </w:r>
    </w:p>
    <w:p w14:paraId="24A084A0" w14:textId="6B04304B" w:rsidR="00040942" w:rsidRDefault="00040942" w:rsidP="00040942">
      <w:r>
        <w:t>C = JCV x BP x U</w:t>
      </w:r>
    </w:p>
    <w:p w14:paraId="0B92B418" w14:textId="71E5861A" w:rsidR="00694180" w:rsidRPr="00694180" w:rsidRDefault="00040942" w:rsidP="00694180">
      <w:pPr>
        <w:rPr>
          <w:b/>
          <w:bCs/>
        </w:rPr>
      </w:pPr>
      <w:r w:rsidRPr="00040942">
        <w:t>Temeljem ukupnih procijenjenih godišnjih troškova izračunata je cijena za količinu predanog miješanog komunalnog otpada kako je naznačeno u prijedlogu cjenika.</w:t>
      </w:r>
    </w:p>
    <w:p w14:paraId="21D75632" w14:textId="77777777" w:rsidR="00CD6F3B" w:rsidRDefault="00CD6F3B" w:rsidP="00694180">
      <w:pPr>
        <w:rPr>
          <w:b/>
          <w:bCs/>
        </w:rPr>
      </w:pPr>
    </w:p>
    <w:p w14:paraId="1613BF2F" w14:textId="75DFB2B2" w:rsidR="00694180" w:rsidRPr="00694180" w:rsidRDefault="00694180" w:rsidP="00694180">
      <w:r w:rsidRPr="00694180">
        <w:rPr>
          <w:b/>
          <w:bCs/>
        </w:rPr>
        <w:t>Zaključak</w:t>
      </w:r>
    </w:p>
    <w:p w14:paraId="0E9A25F9" w14:textId="77777777" w:rsidR="00694180" w:rsidRPr="00694180" w:rsidRDefault="00694180" w:rsidP="00694180">
      <w:r w:rsidRPr="00694180">
        <w:t>Predložene cijene osiguravaju pravednu raspodjelu troškova između svih korisnika usluge, u skladu s načelom „onečišćivač plaća“ te s odredbama važećeg zakonodavnog okvira.  Također se potiče korisnike usluge da odvojeno predaju otpad, kako bi se smanjila količina miješanog komunalnog otpada, a povećale količine odvojeno prikupljenog otpada, čime se ispunjavaju načela održivog razvoja, zaštite okoliša, gospodarenja otpadom i zaštite javnog interesa.</w:t>
      </w:r>
    </w:p>
    <w:p w14:paraId="4AAF8844" w14:textId="77777777" w:rsidR="00694180" w:rsidRPr="00694180" w:rsidRDefault="00694180" w:rsidP="00694180"/>
    <w:p w14:paraId="151D8D73" w14:textId="77777777" w:rsidR="005043B0" w:rsidRDefault="005043B0"/>
    <w:sectPr w:rsidR="00504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EC6"/>
    <w:multiLevelType w:val="hybridMultilevel"/>
    <w:tmpl w:val="D57C752A"/>
    <w:lvl w:ilvl="0" w:tplc="3AE6E14E">
      <w:numFmt w:val="bullet"/>
      <w:lvlText w:val="-"/>
      <w:lvlJc w:val="left"/>
      <w:pPr>
        <w:ind w:left="140" w:hanging="143"/>
      </w:pPr>
      <w:rPr>
        <w:rFonts w:ascii="Arial" w:eastAsia="Arial" w:hAnsi="Arial" w:cs="Arial" w:hint="default"/>
        <w:b w:val="0"/>
        <w:bCs w:val="0"/>
        <w:i w:val="0"/>
        <w:iCs w:val="0"/>
        <w:spacing w:val="0"/>
        <w:w w:val="100"/>
        <w:sz w:val="22"/>
        <w:szCs w:val="22"/>
        <w:lang w:val="hr-HR" w:eastAsia="en-US" w:bidi="ar-SA"/>
      </w:rPr>
    </w:lvl>
    <w:lvl w:ilvl="1" w:tplc="2610A83E">
      <w:numFmt w:val="bullet"/>
      <w:lvlText w:val="•"/>
      <w:lvlJc w:val="left"/>
      <w:pPr>
        <w:ind w:left="1118" w:hanging="143"/>
      </w:pPr>
      <w:rPr>
        <w:rFonts w:hint="default"/>
        <w:lang w:val="hr-HR" w:eastAsia="en-US" w:bidi="ar-SA"/>
      </w:rPr>
    </w:lvl>
    <w:lvl w:ilvl="2" w:tplc="E4448C2C">
      <w:numFmt w:val="bullet"/>
      <w:lvlText w:val="•"/>
      <w:lvlJc w:val="left"/>
      <w:pPr>
        <w:ind w:left="2096" w:hanging="143"/>
      </w:pPr>
      <w:rPr>
        <w:rFonts w:hint="default"/>
        <w:lang w:val="hr-HR" w:eastAsia="en-US" w:bidi="ar-SA"/>
      </w:rPr>
    </w:lvl>
    <w:lvl w:ilvl="3" w:tplc="F570939A">
      <w:numFmt w:val="bullet"/>
      <w:lvlText w:val="•"/>
      <w:lvlJc w:val="left"/>
      <w:pPr>
        <w:ind w:left="3074" w:hanging="143"/>
      </w:pPr>
      <w:rPr>
        <w:rFonts w:hint="default"/>
        <w:lang w:val="hr-HR" w:eastAsia="en-US" w:bidi="ar-SA"/>
      </w:rPr>
    </w:lvl>
    <w:lvl w:ilvl="4" w:tplc="EF66D8B2">
      <w:numFmt w:val="bullet"/>
      <w:lvlText w:val="•"/>
      <w:lvlJc w:val="left"/>
      <w:pPr>
        <w:ind w:left="4052" w:hanging="143"/>
      </w:pPr>
      <w:rPr>
        <w:rFonts w:hint="default"/>
        <w:lang w:val="hr-HR" w:eastAsia="en-US" w:bidi="ar-SA"/>
      </w:rPr>
    </w:lvl>
    <w:lvl w:ilvl="5" w:tplc="A12A3AEC">
      <w:numFmt w:val="bullet"/>
      <w:lvlText w:val="•"/>
      <w:lvlJc w:val="left"/>
      <w:pPr>
        <w:ind w:left="5031" w:hanging="143"/>
      </w:pPr>
      <w:rPr>
        <w:rFonts w:hint="default"/>
        <w:lang w:val="hr-HR" w:eastAsia="en-US" w:bidi="ar-SA"/>
      </w:rPr>
    </w:lvl>
    <w:lvl w:ilvl="6" w:tplc="BD60C1E6">
      <w:numFmt w:val="bullet"/>
      <w:lvlText w:val="•"/>
      <w:lvlJc w:val="left"/>
      <w:pPr>
        <w:ind w:left="6009" w:hanging="143"/>
      </w:pPr>
      <w:rPr>
        <w:rFonts w:hint="default"/>
        <w:lang w:val="hr-HR" w:eastAsia="en-US" w:bidi="ar-SA"/>
      </w:rPr>
    </w:lvl>
    <w:lvl w:ilvl="7" w:tplc="38D6E7B8">
      <w:numFmt w:val="bullet"/>
      <w:lvlText w:val="•"/>
      <w:lvlJc w:val="left"/>
      <w:pPr>
        <w:ind w:left="6987" w:hanging="143"/>
      </w:pPr>
      <w:rPr>
        <w:rFonts w:hint="default"/>
        <w:lang w:val="hr-HR" w:eastAsia="en-US" w:bidi="ar-SA"/>
      </w:rPr>
    </w:lvl>
    <w:lvl w:ilvl="8" w:tplc="0CDCACFC">
      <w:numFmt w:val="bullet"/>
      <w:lvlText w:val="•"/>
      <w:lvlJc w:val="left"/>
      <w:pPr>
        <w:ind w:left="7965" w:hanging="143"/>
      </w:pPr>
      <w:rPr>
        <w:rFonts w:hint="default"/>
        <w:lang w:val="hr-HR" w:eastAsia="en-US" w:bidi="ar-SA"/>
      </w:rPr>
    </w:lvl>
  </w:abstractNum>
  <w:num w:numId="1" w16cid:durableId="38891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B0"/>
    <w:rsid w:val="00040942"/>
    <w:rsid w:val="005043B0"/>
    <w:rsid w:val="00640DB7"/>
    <w:rsid w:val="00694180"/>
    <w:rsid w:val="00862E93"/>
    <w:rsid w:val="00CD6F3B"/>
    <w:rsid w:val="00F84EF9"/>
    <w:rsid w:val="00FF2D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B414"/>
  <w15:chartTrackingRefBased/>
  <w15:docId w15:val="{51011661-950E-41B5-92C5-BACA6948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04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04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043B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043B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043B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043B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043B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043B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043B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43B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043B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043B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043B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043B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043B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043B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043B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043B0"/>
    <w:rPr>
      <w:rFonts w:eastAsiaTheme="majorEastAsia" w:cstheme="majorBidi"/>
      <w:color w:val="272727" w:themeColor="text1" w:themeTint="D8"/>
    </w:rPr>
  </w:style>
  <w:style w:type="paragraph" w:styleId="Naslov">
    <w:name w:val="Title"/>
    <w:basedOn w:val="Normal"/>
    <w:next w:val="Normal"/>
    <w:link w:val="NaslovChar"/>
    <w:uiPriority w:val="10"/>
    <w:qFormat/>
    <w:rsid w:val="00504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043B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043B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043B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43B0"/>
    <w:pPr>
      <w:spacing w:before="160"/>
      <w:jc w:val="center"/>
    </w:pPr>
    <w:rPr>
      <w:i/>
      <w:iCs/>
      <w:color w:val="404040" w:themeColor="text1" w:themeTint="BF"/>
    </w:rPr>
  </w:style>
  <w:style w:type="character" w:customStyle="1" w:styleId="CitatChar">
    <w:name w:val="Citat Char"/>
    <w:basedOn w:val="Zadanifontodlomka"/>
    <w:link w:val="Citat"/>
    <w:uiPriority w:val="29"/>
    <w:rsid w:val="005043B0"/>
    <w:rPr>
      <w:i/>
      <w:iCs/>
      <w:color w:val="404040" w:themeColor="text1" w:themeTint="BF"/>
    </w:rPr>
  </w:style>
  <w:style w:type="paragraph" w:styleId="Odlomakpopisa">
    <w:name w:val="List Paragraph"/>
    <w:basedOn w:val="Normal"/>
    <w:uiPriority w:val="1"/>
    <w:qFormat/>
    <w:rsid w:val="005043B0"/>
    <w:pPr>
      <w:ind w:left="720"/>
      <w:contextualSpacing/>
    </w:pPr>
  </w:style>
  <w:style w:type="character" w:styleId="Jakoisticanje">
    <w:name w:val="Intense Emphasis"/>
    <w:basedOn w:val="Zadanifontodlomka"/>
    <w:uiPriority w:val="21"/>
    <w:qFormat/>
    <w:rsid w:val="005043B0"/>
    <w:rPr>
      <w:i/>
      <w:iCs/>
      <w:color w:val="2F5496" w:themeColor="accent1" w:themeShade="BF"/>
    </w:rPr>
  </w:style>
  <w:style w:type="paragraph" w:styleId="Naglaencitat">
    <w:name w:val="Intense Quote"/>
    <w:basedOn w:val="Normal"/>
    <w:next w:val="Normal"/>
    <w:link w:val="NaglaencitatChar"/>
    <w:uiPriority w:val="30"/>
    <w:qFormat/>
    <w:rsid w:val="00504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043B0"/>
    <w:rPr>
      <w:i/>
      <w:iCs/>
      <w:color w:val="2F5496" w:themeColor="accent1" w:themeShade="BF"/>
    </w:rPr>
  </w:style>
  <w:style w:type="character" w:styleId="Istaknutareferenca">
    <w:name w:val="Intense Reference"/>
    <w:basedOn w:val="Zadanifontodlomka"/>
    <w:uiPriority w:val="32"/>
    <w:qFormat/>
    <w:rsid w:val="005043B0"/>
    <w:rPr>
      <w:b/>
      <w:bCs/>
      <w:smallCaps/>
      <w:color w:val="2F5496" w:themeColor="accent1" w:themeShade="BF"/>
      <w:spacing w:val="5"/>
    </w:rPr>
  </w:style>
  <w:style w:type="paragraph" w:styleId="Tijeloteksta">
    <w:name w:val="Body Text"/>
    <w:basedOn w:val="Normal"/>
    <w:link w:val="TijelotekstaChar"/>
    <w:uiPriority w:val="1"/>
    <w:qFormat/>
    <w:rsid w:val="00640DB7"/>
    <w:pPr>
      <w:widowControl w:val="0"/>
      <w:autoSpaceDE w:val="0"/>
      <w:autoSpaceDN w:val="0"/>
      <w:spacing w:after="0" w:line="240" w:lineRule="auto"/>
      <w:ind w:left="140"/>
      <w:jc w:val="both"/>
    </w:pPr>
    <w:rPr>
      <w:rFonts w:ascii="Arial" w:eastAsia="Arial" w:hAnsi="Arial" w:cs="Arial"/>
      <w:kern w:val="0"/>
      <w:sz w:val="22"/>
      <w:szCs w:val="22"/>
      <w14:ligatures w14:val="none"/>
    </w:rPr>
  </w:style>
  <w:style w:type="character" w:customStyle="1" w:styleId="TijelotekstaChar">
    <w:name w:val="Tijelo teksta Char"/>
    <w:basedOn w:val="Zadanifontodlomka"/>
    <w:link w:val="Tijeloteksta"/>
    <w:uiPriority w:val="1"/>
    <w:rsid w:val="00640DB7"/>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631</Words>
  <Characters>3602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dc:creator>
  <cp:keywords/>
  <dc:description/>
  <cp:lastModifiedBy>DVOR</cp:lastModifiedBy>
  <cp:revision>4</cp:revision>
  <dcterms:created xsi:type="dcterms:W3CDTF">2026-01-20T09:43:00Z</dcterms:created>
  <dcterms:modified xsi:type="dcterms:W3CDTF">2026-01-21T11:22:00Z</dcterms:modified>
</cp:coreProperties>
</file>